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75" w:rsidRDefault="00D55875" w:rsidP="00D55875"/>
    <w:p w:rsidR="00D55875" w:rsidRPr="00DA04F6" w:rsidRDefault="00DA04F6" w:rsidP="00DA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F6">
        <w:rPr>
          <w:rFonts w:ascii="Times New Roman" w:hAnsi="Times New Roman" w:cs="Times New Roman"/>
          <w:b/>
          <w:sz w:val="28"/>
          <w:szCs w:val="28"/>
        </w:rPr>
        <w:t>ГАНЗЕЙСКИЙ УРОК</w:t>
      </w:r>
      <w:r w:rsidR="00C1198E">
        <w:rPr>
          <w:rStyle w:val="ae"/>
          <w:rFonts w:ascii="Times New Roman" w:hAnsi="Times New Roman" w:cs="Times New Roman"/>
          <w:b/>
          <w:sz w:val="28"/>
          <w:szCs w:val="28"/>
        </w:rPr>
        <w:endnoteReference w:id="2"/>
      </w:r>
    </w:p>
    <w:p w:rsidR="00DA04F6" w:rsidRPr="00DA04F6" w:rsidRDefault="00DA04F6" w:rsidP="00DA04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Ганзейский союз - стратегический торговый партнер средневекового Новгорода, объединявший в период с XIV до XVI веков (формально до 1669 года) северогерманские города во главе с Любеком.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Ганза </w:t>
      </w:r>
      <w:r w:rsidRPr="00DA04F6">
        <w:rPr>
          <w:rFonts w:ascii="Times New Roman" w:eastAsia="Times New Roman" w:hAnsi="Times New Roman" w:cs="Times New Roman"/>
          <w:i/>
          <w:szCs w:val="28"/>
          <w:lang w:eastAsia="ru-RU"/>
        </w:rPr>
        <w:t>(</w:t>
      </w:r>
      <w:r w:rsidRPr="00DA04F6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буквально:</w:t>
      </w:r>
      <w:r w:rsidRPr="00DA04F6">
        <w:rPr>
          <w:rStyle w:val="apple-converted-space"/>
          <w:rFonts w:ascii="Times New Roman" w:hAnsi="Times New Roman" w:cs="Times New Roman"/>
          <w:i/>
          <w:color w:val="000000"/>
          <w:szCs w:val="24"/>
          <w:shd w:val="clear" w:color="auto" w:fill="FFFFFF"/>
        </w:rPr>
        <w:t> </w:t>
      </w:r>
      <w:r w:rsidRPr="00DA04F6">
        <w:rPr>
          <w:rFonts w:ascii="Times New Roman" w:hAnsi="Times New Roman" w:cs="Times New Roman"/>
          <w:i/>
          <w:szCs w:val="24"/>
          <w:shd w:val="clear" w:color="auto" w:fill="FFFFFF"/>
        </w:rPr>
        <w:t>«группа»</w:t>
      </w:r>
      <w:r w:rsidRPr="00DA04F6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, «союз»)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создана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торговли на более выгодных условиях и </w:t>
      </w:r>
      <w:proofErr w:type="gram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выполняла роль</w:t>
      </w:r>
      <w:proofErr w:type="gram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посредника между производящими районами Восточной, Северной, Западной и отчасти Центральной Европы, получая от этого огромную выгоду. В истории Ганзы выделяют два периода:</w:t>
      </w:r>
    </w:p>
    <w:p w:rsidR="00DA04F6" w:rsidRPr="00DA04F6" w:rsidRDefault="00DA04F6" w:rsidP="00DA04F6">
      <w:pPr>
        <w:numPr>
          <w:ilvl w:val="0"/>
          <w:numId w:val="1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XI-XIII веков - так называемый период «купеческой Ганзы», когда создавались первые купеческие объединения с центром в городе </w:t>
      </w:r>
      <w:proofErr w:type="spell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Висбю</w:t>
      </w:r>
      <w:proofErr w:type="spell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(остров Готланд).</w:t>
      </w:r>
    </w:p>
    <w:p w:rsidR="00DA04F6" w:rsidRPr="00DA04F6" w:rsidRDefault="00DA04F6" w:rsidP="00DA04F6">
      <w:pPr>
        <w:numPr>
          <w:ilvl w:val="0"/>
          <w:numId w:val="1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XIV до XVI веков - период, когда на основе «купеческой Ганзы» возникла «Ганза городов» (Любек, Бремен, Гамбург, </w:t>
      </w:r>
      <w:proofErr w:type="spell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Штральзунд</w:t>
      </w:r>
      <w:proofErr w:type="spell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в 1356 году получившая название «Немецкая Ганза».</w:t>
      </w:r>
      <w:proofErr w:type="gramEnd"/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1356 году был окончательно оформлен союз городов, назвавший себя «Немецкая Ганза». Цель союза – защита интересов северогерманского купечества. Высшим органом Ганзы был съезд. Его решения (принятые большинством) были обязательны для всеобщего выполнения (в том числе теми ганзейскими городами, которые по каким-либо причинам не прислали своих представителей на очередной съезд). В период расцвета в Ганзу входило до 100 городов, а рамки союза никогда не были строго ограничены.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 - крупнейший торговый контрагент средневековой Ганзы в Восточной Европе на протяжении всего периода его существования. Через Новгород вывозились товары, в том числе привезенные из других русских земель. Именно в Новгороде, а также в Лондоне, Брюгге (Фландрия) и Бергене (Норвегия), находилась одна из крупнейших ганзейских контор. 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…На рубеже XI-XII веков в Новгороде уже существовала торговая фактория </w:t>
      </w:r>
      <w:proofErr w:type="spell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готландских</w:t>
      </w:r>
      <w:proofErr w:type="spell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купцов — так называемый Готский двор с церковью Святого </w:t>
      </w:r>
      <w:proofErr w:type="spell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Олава</w:t>
      </w:r>
      <w:proofErr w:type="spell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именовавшаяся новгородцами «Варяжской божницей». Она пострадала при пожаре 1152 года, когда сгорел новгородский торг. На Готланде, в </w:t>
      </w:r>
      <w:proofErr w:type="spell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Висбю</w:t>
      </w:r>
      <w:proofErr w:type="spell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существовало подворье новгородских купцов, тоже с церковью, остатки которой сохранились в этом городе.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позднее, во второй половине XII столетия, в Новгород прибыли немецкие купцы из северогерманских городов, в первую очередь, из Любека. Они основали в Новгороде Немецкий двор -  двор Святого Петра (по построенной в 1192 году церкви Святого Петра).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Теперь на месте Готского двора в Новгороде находится гостиница «Россия», а Немецкий двор, находившийся между древними Славной и Ильиной улицами, можно было бы увидеть напротив </w:t>
      </w:r>
      <w:proofErr w:type="spell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Успения на Торгу (современная Большая Московская улица), но и его не пощадило время. 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образованием «Ганзы городов», в которую входили и Любек, и </w:t>
      </w:r>
      <w:proofErr w:type="spell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Висбю</w:t>
      </w:r>
      <w:proofErr w:type="spell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Готский и Немецкий дворы в Новгороде были объединены под общим управлением. Дворы соединяла дорога, проходившая через княжеский двор.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Ганзейские дворы не имели постоянного на</w:t>
      </w: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селения. Немцы приезжали в Новгород два раза в год — летом и зимой. Дворы напоминали крепости. Их окру</w:t>
      </w: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жал тын из толстых бревен. 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дворов находились</w:t>
      </w:r>
    </w:p>
    <w:p w:rsidR="00DA04F6" w:rsidRPr="00DA04F6" w:rsidRDefault="00DA04F6" w:rsidP="00DA04F6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церковь, где собирался </w:t>
      </w:r>
      <w:proofErr w:type="spell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стевен</w:t>
      </w:r>
      <w:proofErr w:type="spell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(общее собрание) и решались насущные вопросы жизни купцов, а также хранились наиболее ценные товары,</w:t>
      </w:r>
    </w:p>
    <w:p w:rsidR="00DA04F6" w:rsidRPr="00DA04F6" w:rsidRDefault="00DA04F6" w:rsidP="00DA04F6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двухэтажные дома (</w:t>
      </w:r>
      <w:proofErr w:type="spellStart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дорисы</w:t>
      </w:r>
      <w:proofErr w:type="spellEnd"/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 жили купцы со своими приказчиками и ученика</w:t>
      </w: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</w:t>
      </w:r>
    </w:p>
    <w:p w:rsidR="00DA04F6" w:rsidRPr="00DA04F6" w:rsidRDefault="00DA04F6" w:rsidP="00DA04F6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торговли и хранения товаров (клети),</w:t>
      </w:r>
    </w:p>
    <w:p w:rsidR="00DA04F6" w:rsidRPr="00DA04F6" w:rsidRDefault="00DA04F6" w:rsidP="00DA04F6">
      <w:pPr>
        <w:numPr>
          <w:ilvl w:val="0"/>
          <w:numId w:val="2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большая палата, приказчицкая, мельница, пи</w:t>
      </w: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воварня, баня и больница.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ворота дворов на</w:t>
      </w: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крепко запирались, а внутри спускались с цепи со</w:t>
      </w: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баки, выставлялась стража. </w:t>
      </w:r>
    </w:p>
    <w:p w:rsidR="00DA04F6" w:rsidRPr="00DA04F6" w:rsidRDefault="00DA04F6" w:rsidP="00B639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Новгородские власти не имели права вмешиваться во внутренние дела ганзейских дворов. Из всех ганзейских контор, а они существовали еще в Лондоне, Брюгге, Бергене и других городах, новгородская была самой изолирован</w:t>
      </w:r>
      <w:r w:rsidRPr="00DA04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от города, в котором находилась.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Руси с Ганзой осуществлялась через Новгород. Важнейшие статьи новгородского средневекового экспорта - меха и воск, высоко ценившиеся во всей Европе. Многие западноевропейские монархи и знатные особы носили шубы и шапки из драгоценных мехов (горностая, соболя, куницы), привезенных из Новгорода; свечи из русского воска освещали огромные готические храмы.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мехов самым ходовым товаром были беличьи шкурки разных сортов, в колоссальных количествах вывозившиеся в Западную Европу. Наиболее ценные меха считались штуками, иногда «сороками» (40 штук), а белки - сотнями, тысячами, бочками (в бочку входило до 12 тысяч шкурок). Известно, что только немецкий купец </w:t>
      </w:r>
      <w:proofErr w:type="spell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Виттенборг</w:t>
      </w:r>
      <w:proofErr w:type="spell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продал в 50-х </w:t>
      </w:r>
      <w:proofErr w:type="gram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XIV века за три года 65 ты</w:t>
      </w: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сяч шкурок (в основном белки), приобретенных им в Новгороде. В другом случае, </w:t>
      </w:r>
      <w:proofErr w:type="gram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proofErr w:type="gram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запре</w:t>
      </w: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 торговать с </w:t>
      </w: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Новгородом (разногласия между партнерами иногда случались!), купец </w:t>
      </w:r>
      <w:proofErr w:type="spell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Фекингузен</w:t>
      </w:r>
      <w:proofErr w:type="spell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купил в 1418—1419 годах 29 тысяч шкурок.</w:t>
      </w:r>
    </w:p>
    <w:p w:rsidR="00C1198E" w:rsidRPr="004B2477" w:rsidRDefault="00FA5E7B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1198E"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ироко распространенный на Руси бортнический промысел (сбор меда и воска диких пчел) позволял в больших количествах вывозить воск за рубеж. Поволжье, Смоленская, Полоцкая, Муромская, Рязанская земли и, разумеется, Новгородские пятины поставляли воск на новгородский рынок. Отсюда ганзейскими и русскими купцами он вывозился на Запад. Продавался воск «кругами». Каждый «круг», поступавший в продажу, должен был иметь строго установленный вес (в XV веке — около 160 кг) и быть определенного качества, что удостоверялось особой официальной печатью, при помощи которой на воске оттискивались слова «товар божий», то есть не фальшивый, изготовленный «по божьей правде».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мехов и воска, в последние десятилетия независимости и позднее новгородцы торговали с Западом выделанными кожами, кожаными изделиями, в частности обувью. Иногда предметами вывоза были некоторые виды сельскохозяйственной продукции и охотничьи птицы (соколы).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Запада в Новгород ввозилось много нужных товаров, значительная часть которых поступала затем на рынки других русских городов. Прежде всего, это различные дорогие ткани, особенно сукно, а также цветные металлы, используемые во многих ремеслах.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 местных ткачей вполне удовлетворяла потребности жителей в повседневной одежде, а вот для праздничных одежд знатные новгородцы нередко предпочитали заграничные ткани. Особой популярностью пользовались сукна, изготовлявшиеся в </w:t>
      </w:r>
      <w:proofErr w:type="gram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</w:t>
      </w:r>
      <w:proofErr w:type="gram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Фландрии — Ипре, Генте, Брюгге. </w:t>
      </w:r>
      <w:proofErr w:type="spell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Ипрское</w:t>
      </w:r>
      <w:proofErr w:type="spell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сукно, а также </w:t>
      </w:r>
      <w:proofErr w:type="spell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</w:t>
      </w:r>
      <w:proofErr w:type="spell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(сукно красного цвета) много раз упоминаются в русских письменных источниках как дорогой подарок важным и могущественным людям.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Ганзейские купцы привозили в Новгород медь, свинец, олово и другие необходимые в ремесленном </w:t>
      </w:r>
      <w:proofErr w:type="gram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например квасцы, использовавшиеся для дубления кожи, производства пергамена. Из привозного балтийского янтаря искусные новгородские ювелиры изготавливали разнообразные украшения; применялись также импортные ртуть, мышьяк, купорос.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пищевых продуктов ввозились балтийская сельдь, соль, а в неурожайные годы — и хлеб. В 1231 году летописец отмечал, что немцы </w:t>
      </w:r>
      <w:proofErr w:type="gram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привезли хлеб и тем самым спасли</w:t>
      </w:r>
      <w:proofErr w:type="gram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голода новгородцев, дошедших до крайности.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Ганзейские купцы привозили в Новгород и напитки — французские, испанские, рейнские и греческие вина. Кроме того, немцы на своих </w:t>
      </w: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новгородских дворах варили пи</w:t>
      </w: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во, главным образом для себя, а часть его пускали в продажу.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запрещения западных соседей, нередко находившихся в </w:t>
      </w:r>
      <w:proofErr w:type="gram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с Новгородом, ганзейские купцы иногда привозили сюда оружие, лошадей.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в средние века, особенно международная, была чрезвычайно опасным делом: в пути купца подстерегали стихия (бури и штормы), главной же угрозой были разбойники. Поэтому для дальних поездок купцы объединялись в крупные вооруженные караваны, с которыми нелегко было справиться и профессиональным воякам. Для защиты своих интересов купцы образовывали особые корпорации, гильдии.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западноевропейских </w:t>
      </w:r>
      <w:proofErr w:type="gram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proofErr w:type="gram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существовали подобные объединения и в Новгороде, где они именовались купеческими сотнями. Крупнейшее объединение новгородских  купцов - так называемое «</w:t>
      </w:r>
      <w:proofErr w:type="spell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Иваньское</w:t>
      </w:r>
      <w:proofErr w:type="spell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сто». Им принадлежала церковь Ивана на Опоках на Торгу, сохранившаяся до наших дней. Сохранился устав «</w:t>
      </w:r>
      <w:proofErr w:type="spell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Иваньского</w:t>
      </w:r>
      <w:proofErr w:type="spell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ста». Корпорация объединяла купцов, торговавших воском, обладала исключительным правом взвешивать весь воск, поступавший на новгородский рынок, и собирать с него пошлину.</w:t>
      </w:r>
    </w:p>
    <w:p w:rsidR="00C1198E" w:rsidRPr="004B2477" w:rsidRDefault="00C1198E" w:rsidP="00C1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XIII века на торгу «заморские купцы» (объединение новгородских купцов, торговавших «за морем») построили каменную церковь </w:t>
      </w:r>
      <w:proofErr w:type="spellStart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Параскевы-Пятницы</w:t>
      </w:r>
      <w:proofErr w:type="spellEnd"/>
      <w:r w:rsidRPr="004B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(святой, считавшейся покровительницей торговли). В пользу церкви шла особая пошлина с приезжавших иностранных купцов.</w:t>
      </w:r>
    </w:p>
    <w:p w:rsidR="00DA04F6" w:rsidRDefault="00D55875" w:rsidP="00DA0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F6">
        <w:rPr>
          <w:rFonts w:ascii="Times New Roman" w:hAnsi="Times New Roman" w:cs="Times New Roman"/>
          <w:sz w:val="28"/>
          <w:szCs w:val="28"/>
        </w:rPr>
        <w:t xml:space="preserve">Ганзейский союз Нового времени </w:t>
      </w:r>
      <w:proofErr w:type="gramStart"/>
      <w:r w:rsidRPr="00DA04F6">
        <w:rPr>
          <w:rFonts w:ascii="Times New Roman" w:hAnsi="Times New Roman" w:cs="Times New Roman"/>
          <w:sz w:val="28"/>
          <w:szCs w:val="28"/>
        </w:rPr>
        <w:t>был возрожден в 1980 году и объединил</w:t>
      </w:r>
      <w:proofErr w:type="gramEnd"/>
      <w:r w:rsidRPr="00DA04F6">
        <w:rPr>
          <w:rFonts w:ascii="Times New Roman" w:hAnsi="Times New Roman" w:cs="Times New Roman"/>
          <w:sz w:val="28"/>
          <w:szCs w:val="28"/>
        </w:rPr>
        <w:t xml:space="preserve"> несколько десятков немецких и голландских городов, затем стал «обрастать» и другими городами, подтвердившими свою причастность к  Средневековой Ганзе – самому долговечному (просуществовал почти 400 лет!) международному союзу. </w:t>
      </w:r>
    </w:p>
    <w:p w:rsidR="00B63951" w:rsidRDefault="00D55875" w:rsidP="00DA0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F6">
        <w:rPr>
          <w:rFonts w:ascii="Times New Roman" w:hAnsi="Times New Roman" w:cs="Times New Roman"/>
          <w:sz w:val="28"/>
          <w:szCs w:val="28"/>
        </w:rPr>
        <w:t xml:space="preserve">В 1992 году Новгород первым из российских городов принял поступившее приглашение войти в Новую Ганзу, демонстрируя тем самым верность историческим традициям, свою открытость, толерантность и стремление развивать международное межмуниципальное сотрудничество. Этот шаг жители европейских ганзейских городов поддержали  добровольными денежными перечислениями на так называемый «Новгородский проект» - реконструкцию Никольского собора (XII в.) на </w:t>
      </w:r>
      <w:proofErr w:type="spellStart"/>
      <w:r w:rsidRPr="00DA04F6">
        <w:rPr>
          <w:rFonts w:ascii="Times New Roman" w:hAnsi="Times New Roman" w:cs="Times New Roman"/>
          <w:sz w:val="28"/>
          <w:szCs w:val="28"/>
        </w:rPr>
        <w:t>Ярославовом</w:t>
      </w:r>
      <w:proofErr w:type="spellEnd"/>
      <w:r w:rsidRPr="00DA04F6">
        <w:rPr>
          <w:rFonts w:ascii="Times New Roman" w:hAnsi="Times New Roman" w:cs="Times New Roman"/>
          <w:sz w:val="28"/>
          <w:szCs w:val="28"/>
        </w:rPr>
        <w:t xml:space="preserve"> дворище в Великом Новгороде. </w:t>
      </w:r>
    </w:p>
    <w:p w:rsidR="00B63951" w:rsidRDefault="00D55875" w:rsidP="00DA0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F6">
        <w:rPr>
          <w:rFonts w:ascii="Times New Roman" w:hAnsi="Times New Roman" w:cs="Times New Roman"/>
          <w:sz w:val="28"/>
          <w:szCs w:val="28"/>
        </w:rPr>
        <w:t xml:space="preserve">Позднее в Ганзу вступили еще 13 российских городов. Сегодня Международный Ганзейский союз Нового времени объединяет 187 городов </w:t>
      </w:r>
      <w:r w:rsidRPr="00DA04F6">
        <w:rPr>
          <w:rFonts w:ascii="Times New Roman" w:hAnsi="Times New Roman" w:cs="Times New Roman"/>
          <w:sz w:val="28"/>
          <w:szCs w:val="28"/>
        </w:rPr>
        <w:lastRenderedPageBreak/>
        <w:t xml:space="preserve">из 16 стран Европы с численностью более 20 млн. человек. Это самое крупное общественное объединение в Европе. </w:t>
      </w:r>
    </w:p>
    <w:p w:rsidR="00D55875" w:rsidRPr="00DA04F6" w:rsidRDefault="00D55875" w:rsidP="00DA0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F6">
        <w:rPr>
          <w:rFonts w:ascii="Times New Roman" w:hAnsi="Times New Roman" w:cs="Times New Roman"/>
          <w:sz w:val="28"/>
          <w:szCs w:val="28"/>
        </w:rPr>
        <w:t xml:space="preserve">Раз в год в одном из городов </w:t>
      </w:r>
      <w:proofErr w:type="spellStart"/>
      <w:r w:rsidRPr="00DA04F6">
        <w:rPr>
          <w:rFonts w:ascii="Times New Roman" w:hAnsi="Times New Roman" w:cs="Times New Roman"/>
          <w:sz w:val="28"/>
          <w:szCs w:val="28"/>
        </w:rPr>
        <w:t>ганзейцы</w:t>
      </w:r>
      <w:proofErr w:type="spellEnd"/>
      <w:r w:rsidRPr="00DA04F6">
        <w:rPr>
          <w:rFonts w:ascii="Times New Roman" w:hAnsi="Times New Roman" w:cs="Times New Roman"/>
          <w:sz w:val="28"/>
          <w:szCs w:val="28"/>
        </w:rPr>
        <w:t xml:space="preserve"> организуют встречи – Ганзейские дни. Они проводятся по определенному формату с элементами средневекового фестиваля, что создает уникальную атмосферу для деловых контактов, общения и привлечения максимального количества туристов. Очередность Ганзейских дней определяется на конкурсной основе и прописана уже до 2040 года. На территории России Международные Ганзейские дни впервые прошли в 2009 году в Великом Новгороде с участием делегаций из 84 городов 14 стран Европы, Средневековой фестиваль тогда посетили около 500 тысяч гостей.</w:t>
      </w:r>
    </w:p>
    <w:p w:rsidR="00D55875" w:rsidRPr="00DA04F6" w:rsidRDefault="00D55875" w:rsidP="00DA0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875" w:rsidRPr="00DA04F6" w:rsidRDefault="00D55875" w:rsidP="00B63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F6">
        <w:rPr>
          <w:rFonts w:ascii="Times New Roman" w:hAnsi="Times New Roman" w:cs="Times New Roman"/>
          <w:sz w:val="28"/>
          <w:szCs w:val="28"/>
        </w:rPr>
        <w:t xml:space="preserve">Одним из главных достижений 25- </w:t>
      </w:r>
      <w:proofErr w:type="spellStart"/>
      <w:r w:rsidRPr="00DA04F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DA04F6">
        <w:rPr>
          <w:rFonts w:ascii="Times New Roman" w:hAnsi="Times New Roman" w:cs="Times New Roman"/>
          <w:sz w:val="28"/>
          <w:szCs w:val="28"/>
        </w:rPr>
        <w:t xml:space="preserve"> российского присутствие в Ганзе Нового времени стало создание в 2010 году по инициативе Великого Новгорода Союза русс</w:t>
      </w:r>
      <w:r w:rsidR="00DA04F6">
        <w:rPr>
          <w:rFonts w:ascii="Times New Roman" w:hAnsi="Times New Roman" w:cs="Times New Roman"/>
          <w:sz w:val="28"/>
          <w:szCs w:val="28"/>
        </w:rPr>
        <w:t xml:space="preserve">ких Ганзейских городов. </w:t>
      </w:r>
      <w:r w:rsidR="00B63951">
        <w:rPr>
          <w:rFonts w:ascii="Times New Roman" w:hAnsi="Times New Roman" w:cs="Times New Roman"/>
          <w:sz w:val="28"/>
          <w:szCs w:val="28"/>
        </w:rPr>
        <w:t>В 2011 году в Великом Новгороде состоялись</w:t>
      </w:r>
      <w:proofErr w:type="gramStart"/>
      <w:r w:rsidR="00B6395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63951">
        <w:rPr>
          <w:rFonts w:ascii="Times New Roman" w:hAnsi="Times New Roman" w:cs="Times New Roman"/>
          <w:sz w:val="28"/>
          <w:szCs w:val="28"/>
        </w:rPr>
        <w:t xml:space="preserve">ервые русские ганзейские дни.  </w:t>
      </w:r>
      <w:r w:rsidR="00DA04F6">
        <w:rPr>
          <w:rFonts w:ascii="Times New Roman" w:hAnsi="Times New Roman" w:cs="Times New Roman"/>
          <w:sz w:val="28"/>
          <w:szCs w:val="28"/>
        </w:rPr>
        <w:t>Сегодня</w:t>
      </w:r>
      <w:r w:rsidRPr="00DA04F6">
        <w:rPr>
          <w:rFonts w:ascii="Times New Roman" w:hAnsi="Times New Roman" w:cs="Times New Roman"/>
          <w:sz w:val="28"/>
          <w:szCs w:val="28"/>
        </w:rPr>
        <w:t xml:space="preserve"> в этот союз входят Белозерск, Великий Устюг, Вологда, Ивангород, Кингисепп, Псков, Тверь, Тихвин, Торжок, Тотьма. В мероприятиях и проектах Союза принимают участие также города-участники Ганзы Нового времени - Калининград и Смоленск.</w:t>
      </w:r>
    </w:p>
    <w:p w:rsidR="00D55875" w:rsidRDefault="00D55875" w:rsidP="00DA0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4F6">
        <w:rPr>
          <w:rFonts w:ascii="Times New Roman" w:hAnsi="Times New Roman" w:cs="Times New Roman"/>
          <w:sz w:val="28"/>
          <w:szCs w:val="28"/>
        </w:rPr>
        <w:t xml:space="preserve">Под флагом союза ежегодно проводятся Русские ганзейские дни,  международный конкурс журналистов «Ганза – связь времен» в Пскове, Ганзейские дни бизнеса в Тихвине, выпускается ганзейский календарь, разработан проект «Русский дом» на международных Ганзейских днях. 25 лет </w:t>
      </w:r>
      <w:r w:rsidR="00DA04F6">
        <w:rPr>
          <w:rFonts w:ascii="Times New Roman" w:hAnsi="Times New Roman" w:cs="Times New Roman"/>
          <w:sz w:val="28"/>
          <w:szCs w:val="28"/>
        </w:rPr>
        <w:t xml:space="preserve">- </w:t>
      </w:r>
      <w:r w:rsidRPr="00DA04F6">
        <w:rPr>
          <w:rFonts w:ascii="Times New Roman" w:hAnsi="Times New Roman" w:cs="Times New Roman"/>
          <w:sz w:val="28"/>
          <w:szCs w:val="28"/>
        </w:rPr>
        <w:t>это хорошая основа для начала нового этапа российского присутствия в Ганзе Нового времени, которая может стать привлекательной площадкой для народной дипломатии в условиях преодоления кризиса в</w:t>
      </w:r>
      <w:proofErr w:type="gramEnd"/>
      <w:r w:rsidRPr="00DA0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4F6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DA04F6">
        <w:rPr>
          <w:rFonts w:ascii="Times New Roman" w:hAnsi="Times New Roman" w:cs="Times New Roman"/>
          <w:sz w:val="28"/>
          <w:szCs w:val="28"/>
        </w:rPr>
        <w:t xml:space="preserve"> с Европой.</w:t>
      </w:r>
    </w:p>
    <w:p w:rsidR="00B63951" w:rsidRDefault="00B63951" w:rsidP="00DA0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F6">
        <w:rPr>
          <w:rFonts w:ascii="Times New Roman" w:hAnsi="Times New Roman" w:cs="Times New Roman"/>
          <w:sz w:val="28"/>
          <w:szCs w:val="28"/>
        </w:rPr>
        <w:t xml:space="preserve">25- </w:t>
      </w:r>
      <w:proofErr w:type="spellStart"/>
      <w:r w:rsidRPr="00DA04F6">
        <w:rPr>
          <w:rFonts w:ascii="Times New Roman" w:hAnsi="Times New Roman" w:cs="Times New Roman"/>
          <w:sz w:val="28"/>
          <w:szCs w:val="28"/>
        </w:rPr>
        <w:t>лети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A04F6">
        <w:rPr>
          <w:rFonts w:ascii="Times New Roman" w:hAnsi="Times New Roman" w:cs="Times New Roman"/>
          <w:sz w:val="28"/>
          <w:szCs w:val="28"/>
        </w:rPr>
        <w:t xml:space="preserve"> российского присутствие в Ганзе Нового времени</w:t>
      </w:r>
      <w:r>
        <w:rPr>
          <w:rFonts w:ascii="Times New Roman" w:hAnsi="Times New Roman" w:cs="Times New Roman"/>
          <w:sz w:val="28"/>
          <w:szCs w:val="28"/>
        </w:rPr>
        <w:t xml:space="preserve"> будет посвящена «Ганзейская неделя» - серия деловых, развлекательных, образовательных, соревновательных и зрелищных мероприятий с 15 по 21 мая 2017 года. Центральные события произойдут у Ганзейского знака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дворища 19 и 20 мая. Театрализованное, представление, костюмированное шествие, историческая реконструкция, конный турнир, ганзейская кухня, фестиваль средневековой музыки, концертные программы, игры и развлечения – во всём этом новгородцы и гости Великого Новгорода могут принять самое непосредственное участие.</w:t>
      </w:r>
    </w:p>
    <w:p w:rsidR="00C1198E" w:rsidRDefault="00C1198E" w:rsidP="00DA04F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98E" w:rsidRPr="00C1198E" w:rsidRDefault="00C1198E" w:rsidP="00DA04F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198E">
        <w:rPr>
          <w:rFonts w:ascii="Times New Roman" w:hAnsi="Times New Roman" w:cs="Times New Roman"/>
          <w:i/>
          <w:sz w:val="28"/>
          <w:szCs w:val="28"/>
        </w:rPr>
        <w:lastRenderedPageBreak/>
        <w:t>Видеоиллюстрация</w:t>
      </w:r>
      <w:proofErr w:type="spellEnd"/>
      <w:r w:rsidRPr="00C1198E">
        <w:rPr>
          <w:rFonts w:ascii="Times New Roman" w:hAnsi="Times New Roman" w:cs="Times New Roman"/>
          <w:i/>
          <w:sz w:val="28"/>
          <w:szCs w:val="28"/>
        </w:rPr>
        <w:t xml:space="preserve"> «Ганзейские страницы истории Великого Новгорода» - по ссылке </w:t>
      </w:r>
      <w:hyperlink r:id="rId8" w:history="1">
        <w:r w:rsidRPr="00C1198E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https://www.youtube.com/watch?v=O4_oqj0djnU</w:t>
        </w:r>
      </w:hyperlink>
    </w:p>
    <w:p w:rsidR="00C1198E" w:rsidRPr="00C1198E" w:rsidRDefault="00C1198E" w:rsidP="00DA04F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98E">
        <w:rPr>
          <w:rFonts w:ascii="Times New Roman" w:hAnsi="Times New Roman" w:cs="Times New Roman"/>
          <w:i/>
          <w:sz w:val="28"/>
          <w:szCs w:val="28"/>
        </w:rPr>
        <w:t>Даёт представление о ганзейских событиях в Великом Новгороде, а также об участии новгородцев в международных и русских ганзейских днях.</w:t>
      </w:r>
    </w:p>
    <w:p w:rsidR="00B63951" w:rsidRPr="00DA04F6" w:rsidRDefault="00B63951" w:rsidP="00DA0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875" w:rsidRPr="00116866" w:rsidRDefault="00D55875" w:rsidP="00D55875"/>
    <w:p w:rsidR="00C45F47" w:rsidRDefault="00C45F47"/>
    <w:sectPr w:rsidR="00C45F47" w:rsidSect="00CD0BE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E4" w:rsidRDefault="007A6DE4" w:rsidP="00C1198E">
      <w:pPr>
        <w:spacing w:line="240" w:lineRule="auto"/>
      </w:pPr>
      <w:r>
        <w:separator/>
      </w:r>
    </w:p>
  </w:endnote>
  <w:endnote w:type="continuationSeparator" w:id="1">
    <w:p w:rsidR="007A6DE4" w:rsidRDefault="007A6DE4" w:rsidP="00C1198E">
      <w:pPr>
        <w:spacing w:line="240" w:lineRule="auto"/>
      </w:pPr>
      <w:r>
        <w:continuationSeparator/>
      </w:r>
    </w:p>
  </w:endnote>
  <w:endnote w:id="2">
    <w:p w:rsidR="00C1198E" w:rsidRDefault="00C1198E">
      <w:pPr>
        <w:pStyle w:val="ac"/>
      </w:pPr>
      <w:r>
        <w:rPr>
          <w:rStyle w:val="ae"/>
        </w:rPr>
        <w:endnoteRef/>
      </w:r>
      <w:r>
        <w:t xml:space="preserve"> Материал изложен в двух вариантах: кратком – размер шрифта 14 и полном - размер шрифта 14 и 12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E4" w:rsidRDefault="007A6DE4" w:rsidP="00C1198E">
      <w:pPr>
        <w:spacing w:line="240" w:lineRule="auto"/>
      </w:pPr>
      <w:r>
        <w:separator/>
      </w:r>
    </w:p>
  </w:footnote>
  <w:footnote w:type="continuationSeparator" w:id="1">
    <w:p w:rsidR="007A6DE4" w:rsidRDefault="007A6DE4" w:rsidP="00C119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8E" w:rsidRDefault="00AA2887" w:rsidP="00C1198E">
    <w:pPr>
      <w:pStyle w:val="a4"/>
      <w:ind w:right="-576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3073" inset="0,0,0,0">
            <w:txbxContent>
              <w:p w:rsidR="00C1198E" w:rsidRDefault="00AA2887">
                <w:pPr>
                  <w:pStyle w:val="a8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4B2477" w:rsidRPr="004B2477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4</w:t>
                  </w:r>
                </w:fldSimple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2"/>
          <w:szCs w:val="28"/>
        </w:rPr>
        <w:alias w:val="Заголовок"/>
        <w:id w:val="270721805"/>
        <w:placeholder>
          <w:docPart w:val="5D70D941CE2D4F98AE87476078CF472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1198E" w:rsidRPr="00C1198E">
          <w:rPr>
            <w:rFonts w:asciiTheme="majorHAnsi" w:eastAsiaTheme="majorEastAsia" w:hAnsiTheme="majorHAnsi" w:cstheme="majorBidi"/>
            <w:sz w:val="22"/>
            <w:szCs w:val="28"/>
          </w:rPr>
          <w:t xml:space="preserve">ГАНЗЕЙСКИЙ УРОК – </w:t>
        </w:r>
        <w:r w:rsidR="00C1198E">
          <w:rPr>
            <w:rFonts w:asciiTheme="majorHAnsi" w:eastAsiaTheme="majorEastAsia" w:hAnsiTheme="majorHAnsi" w:cstheme="majorBidi"/>
            <w:sz w:val="22"/>
            <w:szCs w:val="28"/>
          </w:rPr>
          <w:t xml:space="preserve">информационный </w:t>
        </w:r>
        <w:r w:rsidR="00C1198E" w:rsidRPr="00C1198E">
          <w:rPr>
            <w:rFonts w:asciiTheme="majorHAnsi" w:eastAsiaTheme="majorEastAsia" w:hAnsiTheme="majorHAnsi" w:cstheme="majorBidi"/>
            <w:sz w:val="22"/>
            <w:szCs w:val="28"/>
          </w:rPr>
          <w:t>материал по теме  «Новгород и Ганза»</w:t>
        </w:r>
      </w:sdtContent>
    </w:sdt>
  </w:p>
  <w:p w:rsidR="00C1198E" w:rsidRDefault="00C119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F7B"/>
    <w:multiLevelType w:val="multilevel"/>
    <w:tmpl w:val="E624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51C94"/>
    <w:multiLevelType w:val="multilevel"/>
    <w:tmpl w:val="41C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55875"/>
    <w:rsid w:val="004B2477"/>
    <w:rsid w:val="0064695C"/>
    <w:rsid w:val="00657295"/>
    <w:rsid w:val="007A6DE4"/>
    <w:rsid w:val="00935E70"/>
    <w:rsid w:val="00AA2887"/>
    <w:rsid w:val="00B63951"/>
    <w:rsid w:val="00C1198E"/>
    <w:rsid w:val="00C45F47"/>
    <w:rsid w:val="00CD0BE6"/>
    <w:rsid w:val="00D55875"/>
    <w:rsid w:val="00DA04F6"/>
    <w:rsid w:val="00DC48C6"/>
    <w:rsid w:val="00FA5E7B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5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4F6"/>
  </w:style>
  <w:style w:type="character" w:styleId="a3">
    <w:name w:val="Hyperlink"/>
    <w:basedOn w:val="a0"/>
    <w:uiPriority w:val="99"/>
    <w:unhideWhenUsed/>
    <w:rsid w:val="00DA04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98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8E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C1198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198E"/>
    <w:rPr>
      <w:sz w:val="24"/>
    </w:rPr>
  </w:style>
  <w:style w:type="paragraph" w:styleId="a8">
    <w:name w:val="No Spacing"/>
    <w:link w:val="a9"/>
    <w:uiPriority w:val="1"/>
    <w:qFormat/>
    <w:rsid w:val="00C1198E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1198E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11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98E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C1198E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198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1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_oqj0dj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70D941CE2D4F98AE87476078CF4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BF05C-0698-43B3-BC07-5A4DA5D4C2A3}"/>
      </w:docPartPr>
      <w:docPartBody>
        <w:p w:rsidR="00552F87" w:rsidRDefault="00DC278E" w:rsidP="00DC278E">
          <w:pPr>
            <w:pStyle w:val="5D70D941CE2D4F98AE87476078CF472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278E"/>
    <w:rsid w:val="00552F87"/>
    <w:rsid w:val="00DC278E"/>
    <w:rsid w:val="00E8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70D941CE2D4F98AE87476078CF472B">
    <w:name w:val="5D70D941CE2D4F98AE87476078CF472B"/>
    <w:rsid w:val="00DC27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03AF1-4B85-4E67-AECA-0BEEE06D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ГАНЗЕЙСКИЙ УРОК – информационный материал по теме  «Новгород и Ганза»</dc:title>
  <dc:subject/>
  <dc:creator>oti_gl</dc:creator>
  <cp:keywords/>
  <dc:description/>
  <cp:lastModifiedBy>Admin</cp:lastModifiedBy>
  <cp:revision>6</cp:revision>
  <dcterms:created xsi:type="dcterms:W3CDTF">2017-04-20T06:39:00Z</dcterms:created>
  <dcterms:modified xsi:type="dcterms:W3CDTF">2017-04-20T07:30:00Z</dcterms:modified>
</cp:coreProperties>
</file>